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>邯郸市</w:t>
      </w:r>
      <w:r>
        <w:rPr>
          <w:sz w:val="44"/>
          <w:szCs w:val="44"/>
        </w:rPr>
        <w:t>“</w:t>
      </w:r>
      <w:r>
        <w:rPr>
          <w:sz w:val="44"/>
          <w:szCs w:val="44"/>
        </w:rPr>
        <w:t>导游服务</w:t>
      </w:r>
      <w:r>
        <w:rPr>
          <w:sz w:val="44"/>
          <w:szCs w:val="44"/>
        </w:rPr>
        <w:t xml:space="preserve">” </w:t>
      </w:r>
      <w:r>
        <w:rPr>
          <w:sz w:val="44"/>
          <w:szCs w:val="44"/>
        </w:rPr>
        <w:t>技能大赛（高职组）</w:t>
      </w:r>
      <w:r>
        <w:rPr>
          <w:rFonts w:hint="eastAsia"/>
          <w:sz w:val="44"/>
          <w:szCs w:val="44"/>
        </w:rPr>
        <w:t>圆满落幕</w:t>
      </w:r>
    </w:p>
    <w:p>
      <w:pPr>
        <w:pStyle w:val="style0"/>
        <w:jc w:val="center"/>
        <w:rPr>
          <w:sz w:val="44"/>
          <w:szCs w:val="44"/>
        </w:rPr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由邯郸现代职业教育集团主办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邯郸市教育局、邯郸市人力资源和社会保障局、邯郸市市场监督管理局、邯郸市科学技术局、邯郸市总工会、共青团邯郸市委、邯郸市科学技术协会联办的邯郸市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导游服务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技能大赛（高职组）正式落下帷幕。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本次比赛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比赛面向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邯郸市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2020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～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2022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级高职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组旅游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管理专业全体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学生</w:t>
      </w:r>
      <w:r>
        <w:rPr>
          <w:rFonts w:ascii="Calibri" w:cs="Arial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，</w:t>
      </w:r>
      <w:r>
        <w:rPr>
          <w:rFonts w:hint="eastAsia"/>
          <w:sz w:val="28"/>
          <w:szCs w:val="28"/>
          <w:lang w:eastAsia="zh-CN"/>
        </w:rPr>
        <w:t>由邯郸职业技术学院旅游与商贸系承办，</w:t>
      </w:r>
      <w:r>
        <w:rPr>
          <w:sz w:val="28"/>
          <w:szCs w:val="28"/>
        </w:rPr>
        <w:t>采用提交视频作品</w:t>
      </w:r>
      <w:r>
        <w:rPr>
          <w:rFonts w:hint="eastAsia"/>
          <w:sz w:val="28"/>
          <w:szCs w:val="28"/>
        </w:rPr>
        <w:t>形式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比赛</w:t>
      </w:r>
      <w:r>
        <w:rPr>
          <w:rFonts w:hint="eastAsia"/>
          <w:sz w:val="28"/>
          <w:szCs w:val="28"/>
          <w:lang w:eastAsia="zh-CN"/>
        </w:rPr>
        <w:t>内容包括</w:t>
      </w:r>
      <w:r>
        <w:rPr>
          <w:sz w:val="28"/>
          <w:szCs w:val="28"/>
        </w:rPr>
        <w:t>景点</w:t>
      </w:r>
      <w:r>
        <w:rPr>
          <w:sz w:val="28"/>
          <w:szCs w:val="28"/>
        </w:rPr>
        <w:t>解说、才艺展示两个环节</w:t>
      </w:r>
      <w:r>
        <w:rPr>
          <w:sz w:val="28"/>
          <w:szCs w:val="28"/>
        </w:rPr>
        <w:t>。</w:t>
      </w:r>
      <w:r>
        <w:rPr>
          <w:sz w:val="28"/>
          <w:szCs w:val="28"/>
        </w:rPr>
        <w:t>经过选手们激烈的角逐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评委严格的审定，共评选出</w:t>
      </w:r>
      <w:r>
        <w:rPr>
          <w:rFonts w:hint="eastAsia"/>
          <w:sz w:val="28"/>
          <w:szCs w:val="28"/>
        </w:rPr>
        <w:t>两名</w:t>
      </w:r>
      <w:r>
        <w:rPr>
          <w:sz w:val="28"/>
          <w:szCs w:val="28"/>
        </w:rPr>
        <w:t>一等奖，</w:t>
      </w:r>
      <w:r>
        <w:rPr>
          <w:rFonts w:hint="eastAsia"/>
          <w:sz w:val="28"/>
          <w:szCs w:val="28"/>
        </w:rPr>
        <w:t>五名</w:t>
      </w:r>
      <w:r>
        <w:rPr>
          <w:sz w:val="28"/>
          <w:szCs w:val="28"/>
        </w:rPr>
        <w:t>二等奖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两名并列</w:t>
      </w:r>
      <w:r>
        <w:rPr>
          <w:sz w:val="28"/>
          <w:szCs w:val="28"/>
        </w:rPr>
        <w:t>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四名</w:t>
      </w:r>
      <w:r>
        <w:rPr>
          <w:sz w:val="28"/>
          <w:szCs w:val="28"/>
        </w:rPr>
        <w:t>三等奖</w:t>
      </w:r>
      <w:r>
        <w:rPr>
          <w:sz w:val="28"/>
          <w:szCs w:val="28"/>
        </w:rPr>
        <w:t>。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t>序号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选手姓名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获奖等次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马慧丽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一等奖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张晓娜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一等奖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王欣雨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二等奖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周博文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二等奖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孙亚洁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二等奖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张凯伦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二等奖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邹佳乐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二等奖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李畅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三等奖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窦雨洁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三等奖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钱宋佳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三等奖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苏蕊</w:t>
            </w:r>
          </w:p>
        </w:tc>
        <w:tc>
          <w:tcPr>
            <w:tcW w:w="1559" w:type="dxa"/>
            <w:tcBorders/>
          </w:tcPr>
          <w:p>
            <w:pPr>
              <w:pStyle w:val="style0"/>
              <w:rPr/>
            </w:pPr>
            <w:r>
              <w:t>三等奖</w:t>
            </w:r>
          </w:p>
        </w:tc>
      </w:tr>
      <w:bookmarkStart w:id="0" w:name="_GoBack"/>
      <w:bookmarkEnd w:id="0"/>
    </w:tbl>
    <w:p>
      <w:pPr>
        <w:pStyle w:val="style0"/>
        <w:rPr>
          <w:sz w:val="28"/>
          <w:szCs w:val="28"/>
        </w:rPr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此次技能</w:t>
      </w:r>
      <w:r>
        <w:rPr>
          <w:sz w:val="28"/>
          <w:szCs w:val="28"/>
        </w:rPr>
        <w:t>大赛展示了</w:t>
      </w:r>
      <w:r>
        <w:rPr>
          <w:rFonts w:hint="eastAsia"/>
          <w:sz w:val="28"/>
          <w:szCs w:val="28"/>
        </w:rPr>
        <w:t>旅游管理</w:t>
      </w:r>
      <w:r>
        <w:rPr>
          <w:sz w:val="28"/>
          <w:szCs w:val="28"/>
        </w:rPr>
        <w:t>专业学生良好的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素养和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风采</w:t>
      </w:r>
      <w:r>
        <w:rPr>
          <w:rFonts w:hint="eastAsia"/>
          <w:sz w:val="28"/>
          <w:szCs w:val="28"/>
          <w:lang w:eastAsia="zh-CN"/>
        </w:rPr>
        <w:t>，达到</w:t>
      </w:r>
      <w:r>
        <w:rPr>
          <w:rFonts w:hint="eastAsia"/>
          <w:sz w:val="28"/>
          <w:szCs w:val="28"/>
        </w:rPr>
        <w:t>以赛促学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以赛代练</w:t>
      </w:r>
      <w:r>
        <w:rPr>
          <w:rFonts w:hint="eastAsia"/>
          <w:sz w:val="28"/>
          <w:szCs w:val="28"/>
          <w:lang w:eastAsia="zh-CN"/>
        </w:rPr>
        <w:t>的目的。同时，</w:t>
      </w:r>
      <w:r>
        <w:rPr>
          <w:sz w:val="28"/>
          <w:szCs w:val="28"/>
        </w:rPr>
        <w:t>在提高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自身综合素质、巩固专业知识、强化专业技能方面有着重要意义，</w:t>
      </w:r>
      <w:r>
        <w:rPr>
          <w:rFonts w:hint="eastAsia"/>
          <w:sz w:val="28"/>
          <w:szCs w:val="28"/>
        </w:rPr>
        <w:t>极大</w:t>
      </w:r>
      <w:r>
        <w:rPr>
          <w:sz w:val="28"/>
          <w:szCs w:val="28"/>
        </w:rPr>
        <w:t>丰富了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的校园文化生活，对推进旅游行业精神文明建设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展示导游职业风采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激</w:t>
      </w:r>
      <w:r>
        <w:rPr>
          <w:sz w:val="28"/>
          <w:szCs w:val="28"/>
        </w:rPr>
        <w:t>励导游提升职业道德修养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提高服务技能水平起到了积极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促进作用。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4431665" cy="2522855"/>
            <wp:effectExtent l="0" t="0" r="13334" b="17145"/>
            <wp:docPr id="1026" name="图片 5" descr="WechatIMG8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31665" cy="25228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4450080" cy="2480310"/>
            <wp:effectExtent l="0" t="0" r="20320" b="8890"/>
            <wp:docPr id="1027" name="图片 6" descr="WechatIMG8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50080" cy="2480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4451985" cy="2428240"/>
            <wp:effectExtent l="0" t="0" r="18415" b="10160"/>
            <wp:docPr id="1028" name="图片 3" descr="WechatIMG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51985" cy="2428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4554855" cy="2656205"/>
            <wp:effectExtent l="0" t="0" r="17145" b="10795"/>
            <wp:docPr id="1029" name="图片 2" descr="WechatIMG3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54855" cy="26562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供稿：鲁悦</w:t>
      </w:r>
    </w:p>
    <w:p>
      <w:pPr>
        <w:pStyle w:val="style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审核：张民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rPr>
      <w:kern w:val="2"/>
      <w:sz w:val="18"/>
      <w:szCs w:val="18"/>
    </w:rPr>
  </w:style>
  <w:style w:type="paragraph" w:styleId="style31">
    <w:name w:val="header"/>
    <w:basedOn w:val="style0"/>
    <w:next w:val="style31"/>
    <w:link w:val="style4098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rPr>
      <w:kern w:val="2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>
      <w:rFonts w:ascii="Calibri" w:cs="Arial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501</Words>
  <Pages>3</Pages>
  <Characters>509</Characters>
  <Application>WPS Office</Application>
  <DocSecurity>0</DocSecurity>
  <Paragraphs>60</Paragraphs>
  <ScaleCrop>false</ScaleCrop>
  <LinksUpToDate>false</LinksUpToDate>
  <CharactersWithSpaces>511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2022-12-30T12:09:00Z</dcterms:created>
  <dc:creator>Hera-BD00</dc:creator>
  <lastModifiedBy>PFGM00</lastModifiedBy>
  <dcterms:modified xsi:type="dcterms:W3CDTF">2023-01-06T07:13:06Z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df935835039b4a7c96276619220bd49c</vt:lpwstr>
  </property>
  <property fmtid="{D5CDD505-2E9C-101B-9397-08002B2CF9AE}" pid="3" name="KSOProductBuildVer">
    <vt:lpwstr>2052-4.0.0.6524</vt:lpwstr>
  </property>
</Properties>
</file>